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76B" w:rsidRDefault="0073676B" w:rsidP="003C3BB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250557" w:rsidRDefault="00250557" w:rsidP="003C3BB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3C3BB1" w:rsidRDefault="00250557" w:rsidP="003C3BB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B1"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 w:rsidR="003C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B1">
        <w:rPr>
          <w:rFonts w:ascii="Times New Roman" w:hAnsi="Times New Roman" w:cs="Times New Roman"/>
          <w:sz w:val="24"/>
          <w:szCs w:val="24"/>
        </w:rPr>
        <w:t>Medicinos</w:t>
      </w:r>
      <w:proofErr w:type="spellEnd"/>
      <w:r w:rsidR="00A25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B1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3C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B1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3C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EA9" w:rsidRDefault="003C3BB1" w:rsidP="003C3BB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4R-56</w:t>
      </w:r>
    </w:p>
    <w:p w:rsidR="003C3BB1" w:rsidRPr="003C3BB1" w:rsidRDefault="003C3BB1" w:rsidP="003C3BB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3BB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BB1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BB1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BB1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BB1"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BB1">
        <w:rPr>
          <w:rFonts w:ascii="Times New Roman" w:hAnsi="Times New Roman" w:cs="Times New Roman"/>
          <w:sz w:val="24"/>
          <w:szCs w:val="24"/>
        </w:rPr>
        <w:t>Medicinos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BB1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BB1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3BB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9C0DA9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C3BB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3C3BB1">
        <w:rPr>
          <w:rFonts w:ascii="Times New Roman" w:hAnsi="Times New Roman" w:cs="Times New Roman"/>
          <w:sz w:val="24"/>
          <w:szCs w:val="24"/>
        </w:rPr>
        <w:t>įsakym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C3BB1">
        <w:rPr>
          <w:rFonts w:ascii="Times New Roman" w:hAnsi="Times New Roman" w:cs="Times New Roman"/>
          <w:sz w:val="24"/>
          <w:szCs w:val="24"/>
        </w:rPr>
        <w:t xml:space="preserve"> Nr. 4R-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C3BB1" w:rsidRPr="00A25EA9" w:rsidRDefault="003C3BB1" w:rsidP="003C3BB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FC49B9" w:rsidRPr="00FC49B9" w:rsidRDefault="003C3BB1" w:rsidP="00FC49B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MEDICINOS CENTRO TEIKIAMŲ MOKAMŲ ASMENS SVEIKATOS PRIEŽIŪROS, </w:t>
      </w:r>
      <w:r w:rsidR="00B808EE">
        <w:rPr>
          <w:rFonts w:ascii="Times New Roman" w:hAnsi="Times New Roman" w:cs="Times New Roman"/>
          <w:b/>
          <w:sz w:val="24"/>
          <w:szCs w:val="24"/>
        </w:rPr>
        <w:t>PROFILAKTINIŲ SVEIKATOS TIKRINIM</w:t>
      </w:r>
      <w:r w:rsidR="00180BC3">
        <w:rPr>
          <w:rFonts w:ascii="Times New Roman" w:hAnsi="Times New Roman" w:cs="Times New Roman"/>
          <w:b/>
          <w:sz w:val="24"/>
          <w:szCs w:val="24"/>
        </w:rPr>
        <w:t>Ų</w:t>
      </w:r>
      <w:r w:rsidR="00B808E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NEMEDICININIŲ, ODONTOLOGINIŲ, DANTŲ PROTEZAVIMO PASLAUGŲ IR PLOMBINIŲ, </w:t>
      </w:r>
      <w:r w:rsidR="00FC49B9">
        <w:rPr>
          <w:rFonts w:ascii="Times New Roman" w:hAnsi="Times New Roman" w:cs="Times New Roman"/>
          <w:b/>
          <w:sz w:val="24"/>
          <w:szCs w:val="24"/>
        </w:rPr>
        <w:t>ODONTOLOGINIŲ, PROTEZAVIMO MEDŽIAGŲ, VIENKARTINIŲ PRIEMONIŲ KAINYNAS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1297"/>
        <w:gridCol w:w="1230"/>
        <w:gridCol w:w="6682"/>
        <w:gridCol w:w="992"/>
      </w:tblGrid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3772A6" w:rsidRPr="007621AF" w:rsidRDefault="003772A6" w:rsidP="00762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Unikalus</w:t>
            </w:r>
            <w:proofErr w:type="spellEnd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1230" w:type="dxa"/>
            <w:hideMark/>
          </w:tcPr>
          <w:p w:rsidR="003772A6" w:rsidRPr="007621AF" w:rsidRDefault="003772A6" w:rsidP="0039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  <w:proofErr w:type="spellEnd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6682" w:type="dxa"/>
            <w:hideMark/>
          </w:tcPr>
          <w:p w:rsidR="003772A6" w:rsidRPr="007621AF" w:rsidRDefault="003772A6" w:rsidP="0039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  <w:proofErr w:type="spellEnd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992" w:type="dxa"/>
            <w:hideMark/>
          </w:tcPr>
          <w:p w:rsidR="003772A6" w:rsidRPr="007621AF" w:rsidRDefault="0053582B" w:rsidP="0053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772A6"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aina</w:t>
            </w:r>
            <w:proofErr w:type="spellEnd"/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, Eur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3772A6" w:rsidRPr="007621AF" w:rsidRDefault="003772A6" w:rsidP="00392E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INJEKCIJOS, INFUZIJOS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3772A6" w:rsidRPr="007621AF" w:rsidRDefault="0037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AMB12</w:t>
            </w:r>
          </w:p>
        </w:tc>
        <w:tc>
          <w:tcPr>
            <w:tcW w:w="1230" w:type="dxa"/>
            <w:hideMark/>
          </w:tcPr>
          <w:p w:rsidR="003772A6" w:rsidRPr="007621AF" w:rsidRDefault="003772A6" w:rsidP="003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04001</w:t>
            </w:r>
          </w:p>
        </w:tc>
        <w:tc>
          <w:tcPr>
            <w:tcW w:w="6682" w:type="dxa"/>
            <w:hideMark/>
          </w:tcPr>
          <w:p w:rsidR="003772A6" w:rsidRPr="007621AF" w:rsidRDefault="0037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paėmimas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venos</w:t>
            </w:r>
            <w:proofErr w:type="spellEnd"/>
          </w:p>
        </w:tc>
        <w:tc>
          <w:tcPr>
            <w:tcW w:w="992" w:type="dxa"/>
            <w:noWrap/>
            <w:hideMark/>
          </w:tcPr>
          <w:p w:rsidR="003772A6" w:rsidRPr="007621AF" w:rsidRDefault="003772A6" w:rsidP="0053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4,02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3772A6" w:rsidRPr="007621AF" w:rsidRDefault="0037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AMB13</w:t>
            </w:r>
          </w:p>
        </w:tc>
        <w:tc>
          <w:tcPr>
            <w:tcW w:w="1230" w:type="dxa"/>
            <w:hideMark/>
          </w:tcPr>
          <w:p w:rsidR="003772A6" w:rsidRPr="007621AF" w:rsidRDefault="003772A6" w:rsidP="003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04002</w:t>
            </w:r>
          </w:p>
        </w:tc>
        <w:tc>
          <w:tcPr>
            <w:tcW w:w="6682" w:type="dxa"/>
            <w:hideMark/>
          </w:tcPr>
          <w:p w:rsidR="003772A6" w:rsidRPr="007621AF" w:rsidRDefault="0037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paėmimas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piršto</w:t>
            </w:r>
            <w:proofErr w:type="spellEnd"/>
          </w:p>
        </w:tc>
        <w:tc>
          <w:tcPr>
            <w:tcW w:w="992" w:type="dxa"/>
            <w:noWrap/>
            <w:hideMark/>
          </w:tcPr>
          <w:p w:rsidR="003772A6" w:rsidRPr="007621AF" w:rsidRDefault="003772A6" w:rsidP="0053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2,54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3772A6" w:rsidRPr="007621AF" w:rsidRDefault="0037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AMB18</w:t>
            </w:r>
          </w:p>
        </w:tc>
        <w:tc>
          <w:tcPr>
            <w:tcW w:w="1230" w:type="dxa"/>
            <w:hideMark/>
          </w:tcPr>
          <w:p w:rsidR="003772A6" w:rsidRPr="007621AF" w:rsidRDefault="003772A6" w:rsidP="003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04011</w:t>
            </w:r>
          </w:p>
        </w:tc>
        <w:tc>
          <w:tcPr>
            <w:tcW w:w="6682" w:type="dxa"/>
            <w:hideMark/>
          </w:tcPr>
          <w:p w:rsidR="003772A6" w:rsidRPr="007621AF" w:rsidRDefault="0037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Tepinėlio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paėmimas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mikroflorai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  <w:proofErr w:type="spellEnd"/>
          </w:p>
        </w:tc>
        <w:tc>
          <w:tcPr>
            <w:tcW w:w="992" w:type="dxa"/>
            <w:noWrap/>
            <w:hideMark/>
          </w:tcPr>
          <w:p w:rsidR="003772A6" w:rsidRPr="007621AF" w:rsidRDefault="003772A6" w:rsidP="0053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2,81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BIOCHEMINIAI TYRIMAI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AMB74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baltymo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AMB75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Serumo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baltymų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elektroforezė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agarozės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gelyje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9,63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AMB76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15009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Albumino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AMB77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15011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Gliukozės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kapiliariniame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kraujyje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1,92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AMB78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15012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Gliukozės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serume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plazmoje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1,79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AMB79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15013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Gliukozės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toleravimo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mėginys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3,06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15014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Glikozilinto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hemoglobino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(HbA</w:t>
            </w:r>
            <w:r w:rsidRPr="007621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1C</w:t>
            </w: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18,01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15018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rūgšties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2,49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AMB82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15019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Kreatinino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2,62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AMB83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15021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Šlapalo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2,05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AMB84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15023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cholesterolio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2,49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AMB85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15024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Didelio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tankio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lipoproteinų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cholesterolio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AMB86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15025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Mažo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tankio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lipoproteinų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cholesterolio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apskaičiavimas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Friedevaldo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formulę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0,77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AMB87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15026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Triacilglicerolių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AMB88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15028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bilirubino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2,29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AMB89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15029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Tiesioginio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bilirubino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2,29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AMB90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15033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kalcio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3,20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AMB91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15034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Jonizuoto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kalcio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(Ca</w:t>
            </w:r>
            <w:r w:rsidRPr="00762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++</w:t>
            </w: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4,01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AMB92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15036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K, Na, Cl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jonams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selektyvių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elektrodų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3,44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AMB93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Geležies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koncentracijos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3,20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AMB96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15060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Aspartatamino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transferazės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(ASAT/GOT)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aktyvumo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AMB97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15061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Alaninamino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transferazės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(ALAT/GPT)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aktyvumo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AMB108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15122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Tiroksino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Pr="007621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imunofermentiniu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9C0DA9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13,91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AMB109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15124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Laisvo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tiroksino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(LT</w:t>
            </w:r>
            <w:r w:rsidRPr="007621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imunofermentiniu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15,45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AMB110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15126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Tirotropino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(TTH)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imunofermentiniu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13,16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AMB111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15129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Trijodtironino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Pr="007621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imunofermentiniu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13,80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AMB137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15218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Narkotinių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EC0F6C" w:rsidP="00EC0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3A3"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8.1. Į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Valstybinės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teismo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medicinos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tarnybos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toksikologijos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laboratoriją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siunčiami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tyrimai</w:t>
            </w:r>
            <w:proofErr w:type="spellEnd"/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AMB138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Amfetaminų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tricikliniai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antidepresantai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metamfetaminas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metilendioksimetamfetaminas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72,40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AMB139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31009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Opiatų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metadonas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59,90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31016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Benzodiazepinų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53,20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Kanabinoidų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(marihuana)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52,50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AMB142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Barbitūratų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medikamentų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biologinėse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terpėse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HPLC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37,90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AMB143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Kokaino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šlapime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61,00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AMB144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31013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Medikamentų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biologinėje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medžiagoje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132,70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AMB145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Rūgščių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šarmų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biologinėje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medžiagoje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41,20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AMB146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Psichoaktyvių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biologinėje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medžiagoje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LC/MS/MS 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52,10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AMB147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Psichoaktyvių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biologinėje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medžiagoje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LC/MS TOF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49,90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AMB148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Kai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kurių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psichoaktyvių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medžiagų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GC/MS 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84,40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AMB149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31010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Efedrino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katinono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darinių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GC/MS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48,40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HEMATOLOGINIAI IR BENDRAKLINIKINIAI TYRIMAI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AMB150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Kapiliarinio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paėmimas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1,48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AMB151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16002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Kapiliarinio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automatizuotu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7,98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AMB153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16004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Veninio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automatizuotu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7,91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AMB154</w:t>
            </w:r>
          </w:p>
        </w:tc>
        <w:tc>
          <w:tcPr>
            <w:tcW w:w="1230" w:type="dxa"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16005</w:t>
            </w:r>
          </w:p>
        </w:tc>
        <w:tc>
          <w:tcPr>
            <w:tcW w:w="6682" w:type="dxa"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Veninio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automatizuotu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patologija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8,31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AMB156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16012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ENG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veniniame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kraujyje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1,48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AMB158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16048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automatizuotu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būdu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6,70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AMB160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16053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nuosėdų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mikroskopija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0,71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AMB161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16054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nuosėdų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mikroskopija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patologija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2,29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MIKROBIOLOGINIAI TYRIMAI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AMB200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17145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Hepatito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viruso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(HAV) IgM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imunofermentiniu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AD7F11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27,13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AMB201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17146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Hepatito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viruso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(HAV) IgG/IgM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imunofermentiniu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AD7F11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25,99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AMB202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17147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Hepatito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viruso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(HAV) IgG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postvakcininis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</w:tcPr>
          <w:p w:rsidR="00B643A3" w:rsidRPr="007621AF" w:rsidRDefault="00AD7F11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36,16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AMB203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17148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Hepatito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viruso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(HBV) HBs Ag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antigeno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imunofermentiniu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AD7F11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8,16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AMB204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17159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Hepatito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viruso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(HCV) Ag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imunofermentiniu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21,08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AMB205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17168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Žmogaus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imunodeficito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viruso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1/2 (ŽIV 1/2)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antikūnų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tyrimai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ŽIV1 O)</w:t>
            </w:r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5,28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IMUNOLOGINIAI TYRIMAI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AMB219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Skydliaukės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peroksidazės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antikūnų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angl.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anti-TPO)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imunofermentiniu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metodu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31,35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AMB221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18022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reaktyvaus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baltymo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kiekybinis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10,41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AMB222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18051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Reumatoidinio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faktoriaus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kokybinis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nustatymas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2,76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Pastaba</w:t>
            </w:r>
            <w:proofErr w:type="spellEnd"/>
            <w:r w:rsidRPr="00762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621AF">
              <w:rPr>
                <w:rFonts w:ascii="Times New Roman" w:hAnsi="Times New Roman" w:cs="Times New Roman"/>
                <w:i/>
                <w:sz w:val="24"/>
                <w:szCs w:val="24"/>
              </w:rPr>
              <w:t>Tyrimai</w:t>
            </w:r>
            <w:proofErr w:type="spellEnd"/>
            <w:r w:rsidRPr="00762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i/>
                <w:sz w:val="24"/>
                <w:szCs w:val="24"/>
              </w:rPr>
              <w:t>pažymėti</w:t>
            </w:r>
            <w:proofErr w:type="spellEnd"/>
            <w:r w:rsidRPr="00762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*, </w:t>
            </w:r>
            <w:proofErr w:type="spellStart"/>
            <w:r w:rsidRPr="007621AF">
              <w:rPr>
                <w:rFonts w:ascii="Times New Roman" w:hAnsi="Times New Roman" w:cs="Times New Roman"/>
                <w:i/>
                <w:sz w:val="24"/>
                <w:szCs w:val="24"/>
              </w:rPr>
              <w:t>atliekami</w:t>
            </w:r>
            <w:proofErr w:type="spellEnd"/>
            <w:r w:rsidRPr="00762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i/>
                <w:sz w:val="24"/>
                <w:szCs w:val="24"/>
              </w:rPr>
              <w:t>nepriklausomose</w:t>
            </w:r>
            <w:proofErr w:type="spellEnd"/>
            <w:r w:rsidRPr="00762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i/>
                <w:sz w:val="24"/>
                <w:szCs w:val="24"/>
              </w:rPr>
              <w:t>laboratorijose</w:t>
            </w:r>
            <w:proofErr w:type="spellEnd"/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ENDOSKOPINIAI TYRIMAI IR MANIPULIACIJOS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AMB223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22023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Diagnostinė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ezofagogastroskopija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28,44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AMB224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22045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Diagnostinė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ezofagogastroduodenoskopija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34,57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AMB225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22046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Diagnostinė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ezofagogastroduodenoskopija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biopsija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citologiniu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ištyrimu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42,70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RENTGENOGRAFIJA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AMB227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25006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rentgenograma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rentgeno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juosta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35x43 cm)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6,56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AMB228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rentgenograma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rentgeno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juosta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28x33 cm)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6,56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AMB229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25009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Dantų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rentgeno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nuotrauka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8 min.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3,05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AMB230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Panoraminė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rentgeno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nuotrauka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20,70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AMB231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Panoraminė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rentgeno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nuotrauka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atspausdinta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23,00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AMB232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Panoraminė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rentgeno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nuotrauka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įrašyta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į MC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laikmeną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(CD))</w:t>
            </w:r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21,46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ULTRAGARSINIAI TYRIMAI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14.1.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Bendroji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ultragarsinė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diagnostika</w:t>
            </w:r>
            <w:proofErr w:type="spellEnd"/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E74AD4" w:rsidRPr="007621AF" w:rsidRDefault="00E74AD4" w:rsidP="00E74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AMB234</w:t>
            </w:r>
          </w:p>
        </w:tc>
        <w:tc>
          <w:tcPr>
            <w:tcW w:w="1230" w:type="dxa"/>
            <w:hideMark/>
          </w:tcPr>
          <w:p w:rsidR="00E74AD4" w:rsidRPr="007621AF" w:rsidRDefault="00E74AD4" w:rsidP="00E7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27005</w:t>
            </w:r>
          </w:p>
        </w:tc>
        <w:tc>
          <w:tcPr>
            <w:tcW w:w="6682" w:type="dxa"/>
            <w:hideMark/>
          </w:tcPr>
          <w:p w:rsidR="00E74AD4" w:rsidRPr="007621AF" w:rsidRDefault="00E74AD4" w:rsidP="00E7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Pilvo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įskaitant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inkstų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pūslės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tyrimą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doplerinio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kraujotakos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įvertinimo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gydytojo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aprašymu</w:t>
            </w:r>
            <w:proofErr w:type="spellEnd"/>
          </w:p>
        </w:tc>
        <w:tc>
          <w:tcPr>
            <w:tcW w:w="992" w:type="dxa"/>
            <w:noWrap/>
          </w:tcPr>
          <w:p w:rsidR="00E74AD4" w:rsidRPr="007621AF" w:rsidRDefault="00E74AD4" w:rsidP="00E74AD4">
            <w:pPr>
              <w:jc w:val="center"/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57,30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E74AD4" w:rsidRPr="007621AF" w:rsidRDefault="00E74AD4" w:rsidP="00E74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AMB235</w:t>
            </w:r>
          </w:p>
        </w:tc>
        <w:tc>
          <w:tcPr>
            <w:tcW w:w="1230" w:type="dxa"/>
            <w:hideMark/>
          </w:tcPr>
          <w:p w:rsidR="00E74AD4" w:rsidRPr="007621AF" w:rsidRDefault="00E74AD4" w:rsidP="00E7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27006</w:t>
            </w:r>
          </w:p>
        </w:tc>
        <w:tc>
          <w:tcPr>
            <w:tcW w:w="6682" w:type="dxa"/>
            <w:hideMark/>
          </w:tcPr>
          <w:p w:rsidR="00E74AD4" w:rsidRPr="007621AF" w:rsidRDefault="00E74AD4" w:rsidP="00E7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Inkstų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šlapimo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pūslės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doplerinio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kraujotakos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įvertinimo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gydytojo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aprašymu</w:t>
            </w:r>
            <w:proofErr w:type="spellEnd"/>
          </w:p>
        </w:tc>
        <w:tc>
          <w:tcPr>
            <w:tcW w:w="992" w:type="dxa"/>
            <w:noWrap/>
          </w:tcPr>
          <w:p w:rsidR="00E74AD4" w:rsidRPr="007621AF" w:rsidRDefault="00E74AD4" w:rsidP="00E74AD4">
            <w:pPr>
              <w:jc w:val="center"/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57,30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E74AD4" w:rsidRPr="007621AF" w:rsidRDefault="00E74AD4" w:rsidP="00E74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AMB236</w:t>
            </w:r>
          </w:p>
        </w:tc>
        <w:tc>
          <w:tcPr>
            <w:tcW w:w="1230" w:type="dxa"/>
            <w:hideMark/>
          </w:tcPr>
          <w:p w:rsidR="00E74AD4" w:rsidRPr="007621AF" w:rsidRDefault="00E74AD4" w:rsidP="00E7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27007</w:t>
            </w:r>
          </w:p>
        </w:tc>
        <w:tc>
          <w:tcPr>
            <w:tcW w:w="6682" w:type="dxa"/>
            <w:hideMark/>
          </w:tcPr>
          <w:p w:rsidR="00E74AD4" w:rsidRPr="007621AF" w:rsidRDefault="00E74AD4" w:rsidP="00E7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Dubens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pilvo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nėštumui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komplikacijoms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doplerinio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kraujotakos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įvertinimo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gydytojo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aprašymu</w:t>
            </w:r>
            <w:proofErr w:type="spellEnd"/>
          </w:p>
        </w:tc>
        <w:tc>
          <w:tcPr>
            <w:tcW w:w="992" w:type="dxa"/>
            <w:noWrap/>
          </w:tcPr>
          <w:p w:rsidR="00E74AD4" w:rsidRPr="007621AF" w:rsidRDefault="00E74AD4" w:rsidP="00E74AD4">
            <w:pPr>
              <w:jc w:val="center"/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57,30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FUNKCINĖS DIAGNOSTIKOS TYRIMAI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AMB241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28004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Kvėpavimo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pneumoskrinu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25,38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AMB242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28005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Kvėpavimo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pneumoskrinu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naudojant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funkcinius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medikamentų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mėginius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30,37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AMB243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28019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Elektroencefalografija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24,05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AMB244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28021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Skydliaukės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echoskopinis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10,15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AMB245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28022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organų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echoskopinis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bendras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30,37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AMB246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28023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Kepenų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echoskopinis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24,82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AMB247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28024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Inkstų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echoskopinis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AMB249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28026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12-os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derivacijų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EKG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užrašymas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kabinete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gydytojo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aprašymu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AMB250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28027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12-os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derivacijų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EKG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užrašymas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kabinete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gydytojo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aprašymo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5,08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AMB253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28037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Veloergometrija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33,12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AMB254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28041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Echokardiografija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režimu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dvimačiu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režimu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dopleriniu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60,83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AMB255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28051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Holterio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(24 val., EKG)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66,32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PULMONOLOGIJA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AMB268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36007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Spirografinis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ištyrimas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atliekant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iškvepiamojo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oro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dujų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analizę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11,91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OTORINOLARINGOLOGIJA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AMB304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Vestibulinės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15,11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AMB305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Rinamanometrija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17,71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AMB306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Audiometrija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12,96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AMB307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Timpanografija</w:t>
            </w:r>
            <w:proofErr w:type="spellEnd"/>
          </w:p>
        </w:tc>
        <w:tc>
          <w:tcPr>
            <w:tcW w:w="992" w:type="dxa"/>
            <w:noWrap/>
          </w:tcPr>
          <w:p w:rsidR="00B643A3" w:rsidRPr="007621AF" w:rsidRDefault="00E74AD4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9,07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26.1.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Asmenų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norinčių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pradėti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dirbti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dirbančių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galimos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profesinės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rizikos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sąlygomis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veikiant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sveikatą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kenksmingiems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veiksniams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pavojingus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darbus</w:t>
            </w:r>
            <w:proofErr w:type="spellEnd"/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PROF384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Pretendentai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prokurorus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D9321C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78,68</w:t>
            </w:r>
          </w:p>
        </w:tc>
      </w:tr>
      <w:tr w:rsidR="007621AF" w:rsidRPr="007621AF" w:rsidTr="007621AF">
        <w:trPr>
          <w:trHeight w:val="68"/>
        </w:trPr>
        <w:tc>
          <w:tcPr>
            <w:tcW w:w="10201" w:type="dxa"/>
            <w:gridSpan w:val="4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NEMEDICININĖS PASLAUGOS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NEM400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puslapio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kopija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0,12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NEM401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formato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lapo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abiejų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pusių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kopija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NEM402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Kopijavimas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ambulatorinės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kortelės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A4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formatu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7621AF" w:rsidRPr="007621AF" w:rsidTr="00426DD8">
        <w:trPr>
          <w:trHeight w:val="68"/>
        </w:trPr>
        <w:tc>
          <w:tcPr>
            <w:tcW w:w="1297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NEM403</w:t>
            </w:r>
          </w:p>
        </w:tc>
        <w:tc>
          <w:tcPr>
            <w:tcW w:w="1230" w:type="dxa"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hideMark/>
          </w:tcPr>
          <w:p w:rsidR="00B643A3" w:rsidRPr="007621AF" w:rsidRDefault="00B643A3" w:rsidP="00B6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Kopijos</w:t>
            </w:r>
            <w:proofErr w:type="spellEnd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1AF">
              <w:rPr>
                <w:rFonts w:ascii="Times New Roman" w:hAnsi="Times New Roman" w:cs="Times New Roman"/>
                <w:sz w:val="24"/>
                <w:szCs w:val="24"/>
              </w:rPr>
              <w:t>patvirtinimas</w:t>
            </w:r>
            <w:proofErr w:type="spellEnd"/>
          </w:p>
        </w:tc>
        <w:tc>
          <w:tcPr>
            <w:tcW w:w="992" w:type="dxa"/>
            <w:noWrap/>
            <w:hideMark/>
          </w:tcPr>
          <w:p w:rsidR="00B643A3" w:rsidRPr="007621AF" w:rsidRDefault="00B643A3" w:rsidP="00B6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AF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</w:tr>
    </w:tbl>
    <w:p w:rsidR="00496D3C" w:rsidRDefault="00496D3C" w:rsidP="00A060F7">
      <w:pPr>
        <w:pStyle w:val="Heading10"/>
        <w:keepNext/>
        <w:keepLines/>
        <w:shd w:val="clear" w:color="auto" w:fill="auto"/>
        <w:spacing w:before="0"/>
        <w:ind w:firstLine="760"/>
        <w:jc w:val="both"/>
        <w:rPr>
          <w:sz w:val="24"/>
          <w:szCs w:val="24"/>
        </w:rPr>
      </w:pPr>
      <w:bookmarkStart w:id="0" w:name="bookmark5"/>
    </w:p>
    <w:p w:rsidR="00A060F7" w:rsidRPr="00A060F7" w:rsidRDefault="00A060F7" w:rsidP="00A060F7">
      <w:pPr>
        <w:pStyle w:val="Heading10"/>
        <w:keepNext/>
        <w:keepLines/>
        <w:shd w:val="clear" w:color="auto" w:fill="auto"/>
        <w:spacing w:before="0"/>
        <w:ind w:firstLine="760"/>
        <w:jc w:val="both"/>
        <w:rPr>
          <w:sz w:val="24"/>
          <w:szCs w:val="24"/>
        </w:rPr>
      </w:pPr>
      <w:r w:rsidRPr="00A060F7">
        <w:rPr>
          <w:sz w:val="24"/>
          <w:szCs w:val="24"/>
        </w:rPr>
        <w:t>PASTABOS</w:t>
      </w:r>
      <w:bookmarkEnd w:id="0"/>
    </w:p>
    <w:p w:rsidR="00A060F7" w:rsidRPr="00A060F7" w:rsidRDefault="00A060F7" w:rsidP="008144C8">
      <w:pPr>
        <w:pStyle w:val="Bodytext20"/>
        <w:numPr>
          <w:ilvl w:val="0"/>
          <w:numId w:val="6"/>
        </w:numPr>
        <w:shd w:val="clear" w:color="auto" w:fill="auto"/>
        <w:spacing w:before="0" w:after="0" w:line="278" w:lineRule="exact"/>
        <w:ind w:left="0" w:firstLine="760"/>
        <w:jc w:val="both"/>
        <w:rPr>
          <w:sz w:val="24"/>
          <w:szCs w:val="24"/>
        </w:rPr>
      </w:pPr>
      <w:proofErr w:type="spellStart"/>
      <w:r w:rsidRPr="00A060F7">
        <w:rPr>
          <w:sz w:val="24"/>
          <w:szCs w:val="24"/>
        </w:rPr>
        <w:t>Sveikatos</w:t>
      </w:r>
      <w:proofErr w:type="spellEnd"/>
      <w:r w:rsidRPr="00A060F7">
        <w:rPr>
          <w:sz w:val="24"/>
          <w:szCs w:val="24"/>
        </w:rPr>
        <w:t xml:space="preserve"> </w:t>
      </w:r>
      <w:proofErr w:type="spellStart"/>
      <w:r w:rsidRPr="00A060F7">
        <w:rPr>
          <w:sz w:val="24"/>
          <w:szCs w:val="24"/>
        </w:rPr>
        <w:t>priežiūros</w:t>
      </w:r>
      <w:proofErr w:type="spellEnd"/>
      <w:r w:rsidRPr="00A060F7">
        <w:rPr>
          <w:sz w:val="24"/>
          <w:szCs w:val="24"/>
        </w:rPr>
        <w:t xml:space="preserve"> </w:t>
      </w:r>
      <w:proofErr w:type="spellStart"/>
      <w:r w:rsidRPr="00A060F7">
        <w:rPr>
          <w:sz w:val="24"/>
          <w:szCs w:val="24"/>
        </w:rPr>
        <w:t>paslaugos</w:t>
      </w:r>
      <w:proofErr w:type="spellEnd"/>
      <w:r w:rsidRPr="00A060F7">
        <w:rPr>
          <w:sz w:val="24"/>
          <w:szCs w:val="24"/>
        </w:rPr>
        <w:t xml:space="preserve"> </w:t>
      </w:r>
      <w:proofErr w:type="spellStart"/>
      <w:r w:rsidRPr="00A060F7">
        <w:rPr>
          <w:sz w:val="24"/>
          <w:szCs w:val="24"/>
        </w:rPr>
        <w:t>yra</w:t>
      </w:r>
      <w:proofErr w:type="spellEnd"/>
      <w:r w:rsidRPr="00A060F7">
        <w:rPr>
          <w:sz w:val="24"/>
          <w:szCs w:val="24"/>
        </w:rPr>
        <w:t xml:space="preserve"> </w:t>
      </w:r>
      <w:proofErr w:type="spellStart"/>
      <w:r w:rsidRPr="00A060F7">
        <w:rPr>
          <w:sz w:val="24"/>
          <w:szCs w:val="24"/>
        </w:rPr>
        <w:t>mokamos</w:t>
      </w:r>
      <w:proofErr w:type="spellEnd"/>
      <w:r w:rsidRPr="00A060F7">
        <w:rPr>
          <w:sz w:val="24"/>
          <w:szCs w:val="24"/>
        </w:rPr>
        <w:t>, kai:</w:t>
      </w:r>
    </w:p>
    <w:p w:rsidR="003772A6" w:rsidRDefault="002A2956" w:rsidP="00496D3C">
      <w:pPr>
        <w:pStyle w:val="Sraopastraipa"/>
        <w:numPr>
          <w:ilvl w:val="1"/>
          <w:numId w:val="6"/>
        </w:numPr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naujai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priimamieji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t. y.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pretenduojantys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tarnybą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pageidaujantys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įvadinio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kursuose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centrinės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siuntimu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kitoje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įvadinio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kursų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kursantai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Medicinos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atliekantys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specializuotą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medicininę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ekspertizę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reikalingi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papildomi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medicininiai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tyrimai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gydytojų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Mokamas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laboratorinis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šlapimo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nelegaliam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narkotikų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psichoaktyvių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vartojimui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nustatyti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naujai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priimamajam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atliekamas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atvykus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Medicinos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centrą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specializuotosios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medicininės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ekspertizės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mokamas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atliekamas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buvusiems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pareigūnams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grįžtantiems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tarnybą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pareigūnams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atkuriantiems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statutinio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tarnautojo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F7" w:rsidRPr="008144C8">
        <w:rPr>
          <w:rFonts w:ascii="Times New Roman" w:hAnsi="Times New Roman" w:cs="Times New Roman"/>
          <w:sz w:val="24"/>
          <w:szCs w:val="24"/>
        </w:rPr>
        <w:t>statusą</w:t>
      </w:r>
      <w:proofErr w:type="spellEnd"/>
      <w:r w:rsidR="00A060F7" w:rsidRPr="008144C8">
        <w:rPr>
          <w:rFonts w:ascii="Times New Roman" w:hAnsi="Times New Roman" w:cs="Times New Roman"/>
          <w:sz w:val="24"/>
          <w:szCs w:val="24"/>
        </w:rPr>
        <w:t>.</w:t>
      </w:r>
    </w:p>
    <w:p w:rsidR="001B4D7D" w:rsidRPr="003772A6" w:rsidRDefault="001B4D7D" w:rsidP="001B4D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1B4D7D" w:rsidRPr="003772A6" w:rsidSect="0073676B">
      <w:headerReference w:type="default" r:id="rId8"/>
      <w:pgSz w:w="12240" w:h="15840"/>
      <w:pgMar w:top="548" w:right="758" w:bottom="709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807" w:rsidRDefault="00140807" w:rsidP="001B4D7D">
      <w:pPr>
        <w:spacing w:after="0" w:line="240" w:lineRule="auto"/>
      </w:pPr>
      <w:r>
        <w:separator/>
      </w:r>
    </w:p>
  </w:endnote>
  <w:endnote w:type="continuationSeparator" w:id="0">
    <w:p w:rsidR="00140807" w:rsidRDefault="00140807" w:rsidP="001B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807" w:rsidRDefault="00140807" w:rsidP="001B4D7D">
      <w:pPr>
        <w:spacing w:after="0" w:line="240" w:lineRule="auto"/>
      </w:pPr>
      <w:r>
        <w:separator/>
      </w:r>
    </w:p>
  </w:footnote>
  <w:footnote w:type="continuationSeparator" w:id="0">
    <w:p w:rsidR="00140807" w:rsidRDefault="00140807" w:rsidP="001B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5180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DD8" w:rsidRDefault="00426DD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26DD8" w:rsidRDefault="00426D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349"/>
    <w:multiLevelType w:val="multilevel"/>
    <w:tmpl w:val="C5ECA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430C0"/>
    <w:multiLevelType w:val="hybridMultilevel"/>
    <w:tmpl w:val="F99A3D4E"/>
    <w:lvl w:ilvl="0" w:tplc="5D42246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7A76"/>
    <w:multiLevelType w:val="multilevel"/>
    <w:tmpl w:val="C0368C4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3" w15:restartNumberingAfterBreak="0">
    <w:nsid w:val="246033F2"/>
    <w:multiLevelType w:val="hybridMultilevel"/>
    <w:tmpl w:val="E9260128"/>
    <w:lvl w:ilvl="0" w:tplc="5D42246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30D2559"/>
    <w:multiLevelType w:val="hybridMultilevel"/>
    <w:tmpl w:val="D7823196"/>
    <w:lvl w:ilvl="0" w:tplc="076E5C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0377"/>
    <w:multiLevelType w:val="multilevel"/>
    <w:tmpl w:val="55C0F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93B0B"/>
    <w:multiLevelType w:val="multilevel"/>
    <w:tmpl w:val="9476E2D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AB3914"/>
    <w:multiLevelType w:val="hybridMultilevel"/>
    <w:tmpl w:val="C60E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F2"/>
    <w:rsid w:val="00041373"/>
    <w:rsid w:val="00097E17"/>
    <w:rsid w:val="000B033F"/>
    <w:rsid w:val="000F3268"/>
    <w:rsid w:val="0010472D"/>
    <w:rsid w:val="00140807"/>
    <w:rsid w:val="00180BC3"/>
    <w:rsid w:val="001B4D7D"/>
    <w:rsid w:val="00250557"/>
    <w:rsid w:val="002555D1"/>
    <w:rsid w:val="002A2956"/>
    <w:rsid w:val="002B5650"/>
    <w:rsid w:val="003365D9"/>
    <w:rsid w:val="003453BD"/>
    <w:rsid w:val="003772A6"/>
    <w:rsid w:val="00392E8F"/>
    <w:rsid w:val="003A552C"/>
    <w:rsid w:val="003C3BB1"/>
    <w:rsid w:val="00426DD8"/>
    <w:rsid w:val="00480EA1"/>
    <w:rsid w:val="00496D3C"/>
    <w:rsid w:val="0053582B"/>
    <w:rsid w:val="0054459E"/>
    <w:rsid w:val="005D5180"/>
    <w:rsid w:val="00644269"/>
    <w:rsid w:val="00670D96"/>
    <w:rsid w:val="0073676B"/>
    <w:rsid w:val="007621AF"/>
    <w:rsid w:val="00767AF2"/>
    <w:rsid w:val="008144C8"/>
    <w:rsid w:val="008F2516"/>
    <w:rsid w:val="009717F1"/>
    <w:rsid w:val="009A0CB7"/>
    <w:rsid w:val="009C0DA9"/>
    <w:rsid w:val="00A060F7"/>
    <w:rsid w:val="00A25EA9"/>
    <w:rsid w:val="00A717D0"/>
    <w:rsid w:val="00AD7F11"/>
    <w:rsid w:val="00B643A3"/>
    <w:rsid w:val="00B808EE"/>
    <w:rsid w:val="00BB3C58"/>
    <w:rsid w:val="00BB7B12"/>
    <w:rsid w:val="00C12B65"/>
    <w:rsid w:val="00C16112"/>
    <w:rsid w:val="00CA6668"/>
    <w:rsid w:val="00CB4CA3"/>
    <w:rsid w:val="00CD04E1"/>
    <w:rsid w:val="00CF347C"/>
    <w:rsid w:val="00D7464B"/>
    <w:rsid w:val="00D843E4"/>
    <w:rsid w:val="00D9321C"/>
    <w:rsid w:val="00DD70C8"/>
    <w:rsid w:val="00E74AD4"/>
    <w:rsid w:val="00EC0F6C"/>
    <w:rsid w:val="00ED7941"/>
    <w:rsid w:val="00FC49B9"/>
    <w:rsid w:val="00FD048B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E1555"/>
  <w15:chartTrackingRefBased/>
  <w15:docId w15:val="{82F2F3E3-CCEB-4F14-A72B-7B7487E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7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B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4D7D"/>
  </w:style>
  <w:style w:type="paragraph" w:styleId="Porat">
    <w:name w:val="footer"/>
    <w:basedOn w:val="prastasis"/>
    <w:link w:val="PoratDiagrama"/>
    <w:uiPriority w:val="99"/>
    <w:unhideWhenUsed/>
    <w:rsid w:val="001B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4D7D"/>
  </w:style>
  <w:style w:type="character" w:customStyle="1" w:styleId="Heading1">
    <w:name w:val="Heading #1_"/>
    <w:basedOn w:val="Numatytasispastraiposriftas"/>
    <w:link w:val="Heading10"/>
    <w:rsid w:val="00A060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A060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A060F7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prastasis"/>
    <w:link w:val="Bodytext2"/>
    <w:rsid w:val="00A060F7"/>
    <w:pPr>
      <w:widowControl w:val="0"/>
      <w:shd w:val="clear" w:color="auto" w:fill="FFFFFF"/>
      <w:spacing w:before="240" w:after="240" w:line="274" w:lineRule="exact"/>
      <w:ind w:hanging="1180"/>
    </w:pPr>
    <w:rPr>
      <w:rFonts w:ascii="Times New Roman" w:eastAsia="Times New Roman" w:hAnsi="Times New Roman" w:cs="Times New Roman"/>
    </w:rPr>
  </w:style>
  <w:style w:type="paragraph" w:styleId="Sraopastraipa">
    <w:name w:val="List Paragraph"/>
    <w:basedOn w:val="prastasis"/>
    <w:uiPriority w:val="34"/>
    <w:qFormat/>
    <w:rsid w:val="008144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6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2CCA-670C-4AAB-A2D1-B77B08E6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5492</Words>
  <Characters>3131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Chšanauskas</dc:creator>
  <cp:keywords/>
  <dc:description/>
  <cp:lastModifiedBy>Vida Marcinkevičienė</cp:lastModifiedBy>
  <cp:revision>5</cp:revision>
  <cp:lastPrinted>2020-07-01T09:03:00Z</cp:lastPrinted>
  <dcterms:created xsi:type="dcterms:W3CDTF">2020-07-08T05:30:00Z</dcterms:created>
  <dcterms:modified xsi:type="dcterms:W3CDTF">2020-07-08T05:59:00Z</dcterms:modified>
</cp:coreProperties>
</file>